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FA8" w:rsidRDefault="002A3FA8">
      <w:pPr>
        <w:pStyle w:val="1"/>
        <w:spacing w:before="0"/>
        <w:rPr>
          <w:rFonts w:ascii="Tahoma" w:eastAsia="Times New Roman" w:hAnsi="Tahoma" w:cs="Tahoma"/>
          <w:color w:val="1B669D"/>
          <w:sz w:val="24"/>
          <w:szCs w:val="24"/>
        </w:rPr>
      </w:pPr>
      <w:r>
        <w:rPr>
          <w:rFonts w:ascii="Tahoma" w:eastAsia="Times New Roman" w:hAnsi="Tahoma" w:cs="Tahoma"/>
          <w:color w:val="1B669D"/>
          <w:sz w:val="24"/>
          <w:szCs w:val="24"/>
        </w:rPr>
        <w:t xml:space="preserve">О </w:t>
      </w:r>
      <w:proofErr w:type="spellStart"/>
      <w:r>
        <w:rPr>
          <w:rFonts w:ascii="Tahoma" w:eastAsia="Times New Roman" w:hAnsi="Tahoma" w:cs="Tahoma"/>
          <w:color w:val="1B669D"/>
          <w:sz w:val="24"/>
          <w:szCs w:val="24"/>
        </w:rPr>
        <w:t>рекомендациях</w:t>
      </w:r>
      <w:proofErr w:type="spellEnd"/>
      <w:r>
        <w:rPr>
          <w:rFonts w:ascii="Tahoma" w:eastAsia="Times New Roman" w:hAnsi="Tahoma" w:cs="Tahoma"/>
          <w:color w:val="1B669D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1B669D"/>
          <w:sz w:val="24"/>
          <w:szCs w:val="24"/>
        </w:rPr>
        <w:t>как</w:t>
      </w:r>
      <w:proofErr w:type="spellEnd"/>
      <w:r>
        <w:rPr>
          <w:rFonts w:ascii="Tahoma" w:eastAsia="Times New Roman" w:hAnsi="Tahoma" w:cs="Tahoma"/>
          <w:color w:val="1B669D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1B669D"/>
          <w:sz w:val="24"/>
          <w:szCs w:val="24"/>
        </w:rPr>
        <w:t>обезопасить</w:t>
      </w:r>
      <w:proofErr w:type="spellEnd"/>
      <w:r>
        <w:rPr>
          <w:rFonts w:ascii="Tahoma" w:eastAsia="Times New Roman" w:hAnsi="Tahoma" w:cs="Tahoma"/>
          <w:color w:val="1B669D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1B669D"/>
          <w:sz w:val="24"/>
          <w:szCs w:val="24"/>
        </w:rPr>
        <w:t>ребенка</w:t>
      </w:r>
      <w:proofErr w:type="spellEnd"/>
      <w:r>
        <w:rPr>
          <w:rFonts w:ascii="Tahoma" w:eastAsia="Times New Roman" w:hAnsi="Tahoma" w:cs="Tahoma"/>
          <w:color w:val="1B669D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1B669D"/>
          <w:sz w:val="24"/>
          <w:szCs w:val="24"/>
        </w:rPr>
        <w:t>от</w:t>
      </w:r>
      <w:proofErr w:type="spellEnd"/>
      <w:r>
        <w:rPr>
          <w:rFonts w:ascii="Tahoma" w:eastAsia="Times New Roman" w:hAnsi="Tahoma" w:cs="Tahoma"/>
          <w:color w:val="1B669D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1B669D"/>
          <w:sz w:val="24"/>
          <w:szCs w:val="24"/>
        </w:rPr>
        <w:t>бытового</w:t>
      </w:r>
      <w:proofErr w:type="spellEnd"/>
      <w:r>
        <w:rPr>
          <w:rFonts w:ascii="Tahoma" w:eastAsia="Times New Roman" w:hAnsi="Tahoma" w:cs="Tahoma"/>
          <w:color w:val="1B669D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1B669D"/>
          <w:sz w:val="24"/>
          <w:szCs w:val="24"/>
        </w:rPr>
        <w:t>травмирования</w:t>
      </w:r>
      <w:proofErr w:type="spellEnd"/>
    </w:p>
    <w:p w:rsidR="002A3FA8" w:rsidRDefault="002A3FA8">
      <w:pPr>
        <w:divId w:val="394935793"/>
        <w:rPr>
          <w:rFonts w:ascii="Times New Roman" w:eastAsia="Times New Roman" w:hAnsi="Times New Roman" w:cs="Times New Roman"/>
          <w:sz w:val="24"/>
          <w:szCs w:val="24"/>
        </w:rPr>
      </w:pPr>
    </w:p>
    <w:p w:rsidR="002A3FA8" w:rsidRDefault="002A3FA8">
      <w:pPr>
        <w:pStyle w:val="date"/>
        <w:spacing w:before="60" w:beforeAutospacing="0" w:after="60" w:afterAutospacing="0"/>
        <w:jc w:val="both"/>
        <w:divId w:val="1398359324"/>
        <w:rPr>
          <w:i/>
          <w:iCs/>
          <w:color w:val="7B7B7B"/>
          <w:sz w:val="22"/>
          <w:szCs w:val="22"/>
        </w:rPr>
      </w:pPr>
      <w:r>
        <w:rPr>
          <w:i/>
          <w:iCs/>
          <w:color w:val="7B7B7B"/>
          <w:sz w:val="22"/>
          <w:szCs w:val="22"/>
        </w:rPr>
        <w:t>21.04.2020 г.</w:t>
      </w:r>
    </w:p>
    <w:p w:rsidR="002A3FA8" w:rsidRDefault="002A3FA8">
      <w:pPr>
        <w:pStyle w:val="a3"/>
        <w:shd w:val="clear" w:color="auto" w:fill="F8F8F8"/>
        <w:spacing w:before="0" w:beforeAutospacing="0" w:after="150" w:afterAutospacing="0"/>
        <w:jc w:val="both"/>
        <w:divId w:val="139835932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В период самоизоляции, а также карантина в домашних условиях,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Роспотребнадзор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напоминает родителям о некоторых важных правилах безопасности при организации личного пространства и досуга ребенка.</w:t>
      </w:r>
    </w:p>
    <w:p w:rsidR="002A3FA8" w:rsidRDefault="002A3FA8">
      <w:pPr>
        <w:pStyle w:val="a3"/>
        <w:shd w:val="clear" w:color="auto" w:fill="F8F8F8"/>
        <w:spacing w:before="0" w:beforeAutospacing="0" w:after="0" w:afterAutospacing="0"/>
        <w:jc w:val="both"/>
        <w:divId w:val="139835932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1. Не давайте детям играть с мелкими деталями игрушек, батарейками и другими мелкими предметами, которые они могут случайно проглотить</w:t>
      </w:r>
    </w:p>
    <w:p w:rsidR="002A3FA8" w:rsidRDefault="002A3FA8">
      <w:pPr>
        <w:pStyle w:val="a3"/>
        <w:shd w:val="clear" w:color="auto" w:fill="F8F8F8"/>
        <w:spacing w:before="0" w:beforeAutospacing="0" w:after="150" w:afterAutospacing="0"/>
        <w:jc w:val="both"/>
        <w:divId w:val="139835932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Это правило особенно касается детей в возрасте до трех лет. Не храните мелкие предметы, детали, магниты, батарейки (особенно так называемые «кнопочного» типа для часов, брелоков и другой переносной электроники) в местах, доступных для маленьких детей. Они могут быть непреднамеренно проглочены детьми и застрять в желудке. Это может быть очень опасно, а в худшем случае, может привести к летальному исходу. Особая осторожность должна соблюдаться с мелкими предметами, особенно батарейками, которые в диаметре 20 мм и более, поскольку выше вероятность, что они застрянут в пищеводе ребенка. Проглоченная литиевая батарейка, к тому же, может генерировать электрический ток от контакта с жидкостями в желудке. Это может привести к серьезным повреждениям, а, следовательно, потребуется неотложная медицинская помощь и незамедлительное ее извлечение.</w:t>
      </w:r>
    </w:p>
    <w:p w:rsidR="002A3FA8" w:rsidRDefault="002A3FA8">
      <w:pPr>
        <w:pStyle w:val="a3"/>
        <w:shd w:val="clear" w:color="auto" w:fill="F8F8F8"/>
        <w:spacing w:before="0" w:beforeAutospacing="0" w:after="0" w:afterAutospacing="0"/>
        <w:jc w:val="both"/>
        <w:divId w:val="139835932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Что делать, если Ваш ребенок проглотил мелкую деталь или кнопочную батарейку:</w:t>
      </w:r>
    </w:p>
    <w:p w:rsidR="002A3FA8" w:rsidRDefault="002A3FA8">
      <w:pPr>
        <w:pStyle w:val="a3"/>
        <w:shd w:val="clear" w:color="auto" w:fill="F8F8F8"/>
        <w:spacing w:before="0" w:beforeAutospacing="0" w:after="150" w:afterAutospacing="0"/>
        <w:jc w:val="both"/>
        <w:divId w:val="139835932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немедленно обратиться к врачу или вызвать скорую помощь;</w:t>
      </w:r>
    </w:p>
    <w:p w:rsidR="002A3FA8" w:rsidRDefault="002A3FA8">
      <w:pPr>
        <w:pStyle w:val="a3"/>
        <w:shd w:val="clear" w:color="auto" w:fill="F8F8F8"/>
        <w:spacing w:before="0" w:beforeAutospacing="0" w:after="150" w:afterAutospacing="0"/>
        <w:jc w:val="both"/>
        <w:divId w:val="139835932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в случае с батарейкой не позволяйте вашему ребенку пить или есть, пока рентген не определит наличие батарейки;</w:t>
      </w:r>
    </w:p>
    <w:p w:rsidR="002A3FA8" w:rsidRDefault="002A3FA8">
      <w:pPr>
        <w:pStyle w:val="a3"/>
        <w:shd w:val="clear" w:color="auto" w:fill="F8F8F8"/>
        <w:spacing w:before="0" w:beforeAutospacing="0" w:after="150" w:afterAutospacing="0"/>
        <w:jc w:val="both"/>
        <w:divId w:val="139835932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если у вас есть упаковка от игрушки, мелких предметов, батареи или непосредственно само устройство или игрушка, часть которого была проглочена ребенком, возьмите их с собой, поскольку это поможет врачу идентифицировать проглоченный предмет, тип батареи или мелкой детали, ее химический состав.</w:t>
      </w:r>
    </w:p>
    <w:p w:rsidR="002A3FA8" w:rsidRDefault="002A3FA8">
      <w:pPr>
        <w:pStyle w:val="a3"/>
        <w:shd w:val="clear" w:color="auto" w:fill="F8F8F8"/>
        <w:spacing w:before="0" w:beforeAutospacing="0" w:after="0" w:afterAutospacing="0"/>
        <w:jc w:val="both"/>
        <w:divId w:val="139835932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2. Обращайте внимание на внешний вид и функциональность игрушек</w:t>
      </w:r>
    </w:p>
    <w:p w:rsidR="002A3FA8" w:rsidRDefault="002A3FA8">
      <w:pPr>
        <w:pStyle w:val="a3"/>
        <w:shd w:val="clear" w:color="auto" w:fill="F8F8F8"/>
        <w:spacing w:before="0" w:beforeAutospacing="0" w:after="150" w:afterAutospacing="0"/>
        <w:jc w:val="both"/>
        <w:divId w:val="139835932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При покупке игрушек обращайте внимание на их внешний вид, маркировку и следующие особенности конструкции, сборки:</w:t>
      </w:r>
    </w:p>
    <w:p w:rsidR="002A3FA8" w:rsidRDefault="002A3FA8">
      <w:pPr>
        <w:pStyle w:val="a3"/>
        <w:shd w:val="clear" w:color="auto" w:fill="F8F8F8"/>
        <w:spacing w:before="0" w:beforeAutospacing="0" w:after="150" w:afterAutospacing="0"/>
        <w:jc w:val="both"/>
        <w:divId w:val="139835932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Игрушка и ее составные части, включая крепежные детали, должны выдерживать механические нагрузки, возникающие при использовании игрушки по назначению, при этом она не должна разрушаться и должна сохранять свои потребительские свойства.</w:t>
      </w:r>
    </w:p>
    <w:p w:rsidR="002A3FA8" w:rsidRDefault="002A3FA8">
      <w:pPr>
        <w:pStyle w:val="a3"/>
        <w:shd w:val="clear" w:color="auto" w:fill="F8F8F8"/>
        <w:spacing w:before="0" w:beforeAutospacing="0" w:after="150" w:afterAutospacing="0"/>
        <w:jc w:val="both"/>
        <w:divId w:val="139835932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- Доступные кромки, острые концы, жесткие детали, пружины, крепежные детали, зазоры, углы, выступы, шнуры, канаты и крепления игрушек должны исключать риск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травмирования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ребенка.</w:t>
      </w:r>
    </w:p>
    <w:p w:rsidR="002A3FA8" w:rsidRDefault="002A3FA8">
      <w:pPr>
        <w:pStyle w:val="a3"/>
        <w:shd w:val="clear" w:color="auto" w:fill="F8F8F8"/>
        <w:spacing w:before="0" w:beforeAutospacing="0" w:after="150" w:afterAutospacing="0"/>
        <w:jc w:val="both"/>
        <w:divId w:val="139835932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Игрушка и съемные детали игрушки, предназначенной для детей в возрасте до 3 лет, а также игрушки, непосредственно закрепляемые на пищевых продуктах, должны иметь такие размеры, чтобы избежать попадания в верхние дыхательные пути.</w:t>
      </w:r>
    </w:p>
    <w:p w:rsidR="002A3FA8" w:rsidRDefault="002A3FA8">
      <w:pPr>
        <w:pStyle w:val="a3"/>
        <w:shd w:val="clear" w:color="auto" w:fill="F8F8F8"/>
        <w:spacing w:before="0" w:beforeAutospacing="0" w:after="150" w:afterAutospacing="0"/>
        <w:jc w:val="both"/>
        <w:divId w:val="139835932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- Игрушка со снарядом, выпускаемым при помощи пускового механизма, а также обладающий кинетической энергией снаряд, должны минимизировать риск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травмирования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ребенка и (или) лица, присматривающего за ним.</w:t>
      </w:r>
    </w:p>
    <w:p w:rsidR="002A3FA8" w:rsidRDefault="002A3FA8">
      <w:pPr>
        <w:pStyle w:val="a3"/>
        <w:shd w:val="clear" w:color="auto" w:fill="F8F8F8"/>
        <w:spacing w:before="0" w:beforeAutospacing="0" w:after="150" w:afterAutospacing="0"/>
        <w:jc w:val="both"/>
        <w:divId w:val="139835932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Не допускается поверхностное окрашивание и роспись игрушек-погремушек и игрушек, контактирующих со ртом ребенка.</w:t>
      </w:r>
    </w:p>
    <w:p w:rsidR="002A3FA8" w:rsidRDefault="002A3FA8">
      <w:pPr>
        <w:pStyle w:val="a3"/>
        <w:shd w:val="clear" w:color="auto" w:fill="F8F8F8"/>
        <w:spacing w:before="0" w:beforeAutospacing="0" w:after="150" w:afterAutospacing="0"/>
        <w:jc w:val="both"/>
        <w:divId w:val="139835932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На игрушках, не предназначенных для детей в возрасте до 3 лет, должно быть нанесено условное графическое обозначение с предупреждающим указанием возрастной группы.</w:t>
      </w:r>
    </w:p>
    <w:p w:rsidR="002A3FA8" w:rsidRDefault="002A3FA8">
      <w:pPr>
        <w:pStyle w:val="a3"/>
        <w:shd w:val="clear" w:color="auto" w:fill="F8F8F8"/>
        <w:spacing w:before="0" w:beforeAutospacing="0" w:after="0" w:afterAutospacing="0"/>
        <w:jc w:val="both"/>
        <w:divId w:val="139835932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lastRenderedPageBreak/>
        <w:t>3. Помните об опасности переворачивающейся мебели.</w:t>
      </w:r>
    </w:p>
    <w:p w:rsidR="002A3FA8" w:rsidRDefault="002A3FA8">
      <w:pPr>
        <w:pStyle w:val="a3"/>
        <w:shd w:val="clear" w:color="auto" w:fill="F8F8F8"/>
        <w:spacing w:before="0" w:beforeAutospacing="0" w:after="0" w:afterAutospacing="0"/>
        <w:jc w:val="both"/>
        <w:divId w:val="139835932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По международной статистике 34% детей забираются на мебель. Если шкаф, тумба, комод, телевизор, другая мебель или бытовая техника, тяжелые или бьющиеся предметы интерьера доступны детям, не устойчивы или не закреплены, есть высокий риск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травмирования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детей. Чаще всего получают травмы дети возрастной категории от 3 до 5 лет, однако статистика происшествий показывает, что пострадать могут даже младенцы. Следите, чтобы ребенок не мог самостоятельно открыть ящики комодов и шкафов, устанавливайте специальные замки и фиксаторы. Подробнее можно ознакомиться со специальным материалом на </w:t>
      </w:r>
      <w:hyperlink r:id="rId4" w:history="1">
        <w:r>
          <w:rPr>
            <w:rStyle w:val="a4"/>
            <w:rFonts w:ascii="Arial" w:hAnsi="Arial" w:cs="Arial"/>
            <w:color w:val="1D85B3"/>
            <w:sz w:val="21"/>
            <w:szCs w:val="21"/>
          </w:rPr>
          <w:t>государственном информационном ресурсе в сфере защиты прав потребителей</w:t>
        </w:r>
      </w:hyperlink>
      <w:r>
        <w:rPr>
          <w:rFonts w:ascii="Arial" w:hAnsi="Arial" w:cs="Arial"/>
          <w:color w:val="242424"/>
          <w:sz w:val="21"/>
          <w:szCs w:val="21"/>
        </w:rPr>
        <w:t>.</w:t>
      </w:r>
    </w:p>
    <w:p w:rsidR="002A3FA8" w:rsidRDefault="002A3FA8">
      <w:pPr>
        <w:pStyle w:val="a3"/>
        <w:shd w:val="clear" w:color="auto" w:fill="F8F8F8"/>
        <w:spacing w:before="0" w:beforeAutospacing="0" w:after="0" w:afterAutospacing="0"/>
        <w:jc w:val="both"/>
        <w:divId w:val="139835932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4. Обратите внимание на особую уязвимость детей в цифровом мире</w:t>
      </w:r>
    </w:p>
    <w:p w:rsidR="002A3FA8" w:rsidRDefault="002A3FA8">
      <w:pPr>
        <w:pStyle w:val="a3"/>
        <w:shd w:val="clear" w:color="auto" w:fill="F8F8F8"/>
        <w:spacing w:before="0" w:beforeAutospacing="0" w:after="150" w:afterAutospacing="0"/>
        <w:jc w:val="both"/>
        <w:divId w:val="139835932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Современные дети - самая многочисленная (22,6 млн) и самая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медийно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активная часть социума. Современные дети родились и растут в домах, где зачастую есть два телевизора, планшет, смартфон, доступ в интернет, компьютер или ноутбук, игровая приставка и многое другое. Дети являются потребителями самых разных типов контента: ТВ, книги, журналы, брошюры, игры, музыка, кино, мультфильмы.</w:t>
      </w:r>
    </w:p>
    <w:p w:rsidR="002A3FA8" w:rsidRDefault="002A3FA8">
      <w:pPr>
        <w:pStyle w:val="a3"/>
        <w:shd w:val="clear" w:color="auto" w:fill="F8F8F8"/>
        <w:spacing w:before="0" w:beforeAutospacing="0" w:after="150" w:afterAutospacing="0"/>
        <w:jc w:val="both"/>
        <w:divId w:val="139835932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Обращайте внимание, какой именно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медиаконтент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потребляют дети. С особой осторожностью относитесь к играм, игрушкам,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медиаактивностям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эксплуатирующим детский азарт (детские казино, компьютерные игры с покупками и пожертвованиями). Учтите, что если к приложениям в компьютере или телефоне привязаны банковские карты, то дети смогут самостоятельно приобрести и установить практически любой контент, в том числе не предназначенный для них и имеющий ограничения по возрасту. </w:t>
      </w:r>
    </w:p>
    <w:p w:rsidR="00AD17C7" w:rsidRDefault="001B52BA">
      <w:bookmarkStart w:id="0" w:name="_GoBack"/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5039BE0F">
            <wp:simplePos x="0" y="0"/>
            <wp:positionH relativeFrom="column">
              <wp:posOffset>-626144</wp:posOffset>
            </wp:positionH>
            <wp:positionV relativeFrom="paragraph">
              <wp:posOffset>447827</wp:posOffset>
            </wp:positionV>
            <wp:extent cx="7195001" cy="3154611"/>
            <wp:effectExtent l="0" t="0" r="6350" b="8255"/>
            <wp:wrapTopAndBottom/>
            <wp:docPr id="1" name="Рисунок 1" descr="https://www.rospotrebnadzor.ru/files/news/BTravm-1980x868px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BTravm-1980x868px%20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001" cy="31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D17C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C7"/>
    <w:rsid w:val="001B52BA"/>
    <w:rsid w:val="002A3FA8"/>
    <w:rsid w:val="00A55AE2"/>
    <w:rsid w:val="00A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E6A4F6B-09EF-4420-A3CF-1DA1E3DC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F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ate">
    <w:name w:val="date"/>
    <w:basedOn w:val="a"/>
    <w:rsid w:val="002A3F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2A3F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A3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9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zpp.rospotrebnadzor.ru/handbook/actual/105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olgabikul@gmail.com</cp:lastModifiedBy>
  <cp:revision>4</cp:revision>
  <dcterms:created xsi:type="dcterms:W3CDTF">2020-06-01T20:11:00Z</dcterms:created>
  <dcterms:modified xsi:type="dcterms:W3CDTF">2020-06-01T20:13:00Z</dcterms:modified>
</cp:coreProperties>
</file>